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Before you get started!  A final checklist for managing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Before getting started, review the checklist below to make sure that you have planned how your supplies will be used, taken care of, managed and replaced. </w:t>
      </w:r>
    </w:p>
    <w:tbl>
      <w:tblPr>
        <w:tblStyle w:val="Table1"/>
        <w:tblW w:w="85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34"/>
        <w:gridCol w:w="1382"/>
        <w:tblGridChange w:id="0">
          <w:tblGrid>
            <w:gridCol w:w="7134"/>
            <w:gridCol w:w="1382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3">
            <w:pPr>
              <w:spacing w:after="24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spacing w:after="240" w:line="276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Check if completed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review the Supply Guidance?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examine all of the items in the Supply Kit?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Do you understand the function of each of the Supply Kit items?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remove any items that are inappropriate within your religious and cultural context?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add any further supplies that you think could benefit activities with adolescents?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If you don’t have access to a Supply Kit, did you identify ways to procure or make your own set of supplies for activities with the Adolescent Kit?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identify a safe place to store the supplies?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create an inventory log?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agree on ground rules for minding the supplies?  This includes who stores the supplies, who keeps an inventory and how often items are cleaned and checked for damage.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make a plan for replacing lost, damaged or stolen supplies?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240" w:line="276" w:lineRule="auto"/>
              <w:rPr>
                <w:b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Did you involve adolescents and relevant adults (facilitators, partners, volunteers, steering committee representatives) in planning how the supplies will be stored, managed and replaced?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240" w:line="276" w:lineRule="auto"/>
              <w:rPr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line="276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Remember to consult adolescents!</w:t>
      </w:r>
      <w:r w:rsidDel="00000000" w:rsidR="00000000" w:rsidRPr="00000000">
        <w:rPr>
          <w:vertAlign w:val="baseline"/>
          <w:rtl w:val="0"/>
        </w:rPr>
        <w:t xml:space="preserve"> Managing supplies for the Adolescent Kit is a great opportunity for adolescents to practice skills such as planning and problem solving, to use their creativity and imagination, and to take responsibility for important tasks.  Try to inspire a sense of ownership by involving adolescent girls and boys in all steps of managing supplies, and when appropriate, let them take the lead. </w:t>
      </w:r>
    </w:p>
    <w:p w:rsidR="00000000" w:rsidDel="00000000" w:rsidP="00000000" w:rsidRDefault="00000000" w:rsidRPr="00000000" w14:paraId="0000001D">
      <w:pPr>
        <w:spacing w:after="240" w:line="276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See the</w:t>
      </w: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Manage Supplies</w:t>
      </w: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section in the Programme Coordinator’s Guidance for advice on involving adolescents in managing supplies.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360" w:line="276" w:lineRule="auto"/>
      <w:ind w:left="432" w:hanging="432"/>
    </w:pPr>
    <w:rPr>
      <w:rFonts w:ascii="Calibri" w:cs="Calibri" w:eastAsia="Calibri" w:hAnsi="Calibri"/>
      <w:b w:val="1"/>
      <w:smallCaps w:val="1"/>
      <w:color w:val="0653b3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240" w:line="276" w:lineRule="auto"/>
      <w:ind w:left="792" w:hanging="432"/>
    </w:pPr>
    <w:rPr>
      <w:rFonts w:ascii="Times" w:cs="Times" w:eastAsia="Times" w:hAnsi="Times"/>
      <w:b w:val="1"/>
      <w:i w:val="1"/>
      <w:color w:val="0653b3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240" w:line="276" w:lineRule="auto"/>
      <w:ind w:left="720" w:hanging="720"/>
    </w:pPr>
    <w:rPr>
      <w:rFonts w:ascii="Calibri" w:cs="Calibri" w:eastAsia="Calibri" w:hAnsi="Calibri"/>
      <w:b w:val="1"/>
      <w:color w:val="0653b3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00" w:line="276" w:lineRule="auto"/>
      <w:ind w:left="864" w:hanging="864"/>
    </w:pPr>
    <w:rPr>
      <w:rFonts w:ascii="Calibri" w:cs="Calibri" w:eastAsia="Calibri" w:hAnsi="Calibri"/>
      <w:b w:val="1"/>
      <w:i w:val="1"/>
      <w:color w:val="0653b3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